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BD" w:rsidRDefault="00A929BD" w:rsidP="00A929BD">
      <w:pPr>
        <w:spacing w:after="0" w:line="240" w:lineRule="auto"/>
        <w:ind w:left="60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41164204"/>
      <w:bookmarkStart w:id="1" w:name="_Toc247084589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A929BD" w:rsidRDefault="00A929BD" w:rsidP="008E0C2A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B49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техническим требованиям</w:t>
      </w:r>
      <w:bookmarkStart w:id="2" w:name="_GoBack"/>
      <w:bookmarkEnd w:id="2"/>
    </w:p>
    <w:p w:rsidR="002C7BB8" w:rsidRPr="002C7BB8" w:rsidRDefault="002C7BB8" w:rsidP="00A929BD">
      <w:pPr>
        <w:shd w:val="clear" w:color="auto" w:fill="FFFFFF"/>
        <w:spacing w:before="100" w:beforeAutospacing="1" w:after="150" w:line="27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BB8">
        <w:rPr>
          <w:rFonts w:ascii="Times New Roman" w:eastAsia="Times New Roman" w:hAnsi="Times New Roman" w:cs="Times New Roman"/>
          <w:b/>
          <w:color w:val="393A3A"/>
          <w:sz w:val="26"/>
          <w:szCs w:val="26"/>
          <w:lang w:eastAsia="ru-RU"/>
        </w:rPr>
        <w:t xml:space="preserve">Требования к приборам на </w:t>
      </w:r>
      <w:r w:rsidRPr="002C7BB8">
        <w:rPr>
          <w:rFonts w:ascii="Times New Roman" w:hAnsi="Times New Roman" w:cs="Times New Roman"/>
          <w:b/>
          <w:sz w:val="26"/>
          <w:szCs w:val="26"/>
        </w:rPr>
        <w:t>соответствие действующе</w:t>
      </w:r>
      <w:r w:rsidR="006202C0">
        <w:rPr>
          <w:rFonts w:ascii="Times New Roman" w:hAnsi="Times New Roman" w:cs="Times New Roman"/>
          <w:b/>
          <w:sz w:val="26"/>
          <w:szCs w:val="26"/>
        </w:rPr>
        <w:t>му</w:t>
      </w:r>
      <w:r w:rsidRPr="002C7BB8">
        <w:rPr>
          <w:rFonts w:ascii="Times New Roman" w:hAnsi="Times New Roman" w:cs="Times New Roman"/>
          <w:b/>
          <w:sz w:val="26"/>
          <w:szCs w:val="26"/>
        </w:rPr>
        <w:t xml:space="preserve"> законодательств</w:t>
      </w:r>
      <w:r w:rsidR="006202C0">
        <w:rPr>
          <w:rFonts w:ascii="Times New Roman" w:hAnsi="Times New Roman" w:cs="Times New Roman"/>
          <w:b/>
          <w:sz w:val="26"/>
          <w:szCs w:val="26"/>
        </w:rPr>
        <w:t>у</w:t>
      </w:r>
    </w:p>
    <w:p w:rsidR="002C7BB8" w:rsidRPr="002C7BB8" w:rsidRDefault="002C7BB8" w:rsidP="00A929BD">
      <w:pPr>
        <w:shd w:val="clear" w:color="auto" w:fill="FFFFFF"/>
        <w:spacing w:before="100" w:beforeAutospacing="1" w:after="150" w:line="27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BB8">
        <w:rPr>
          <w:rFonts w:ascii="Times New Roman" w:hAnsi="Times New Roman" w:cs="Times New Roman"/>
          <w:b/>
          <w:sz w:val="26"/>
          <w:szCs w:val="26"/>
        </w:rPr>
        <w:t>в области минимального набора функций, указанных в ПП РФ №890 от 19.07.2020</w:t>
      </w:r>
    </w:p>
    <w:tbl>
      <w:tblPr>
        <w:tblW w:w="10592" w:type="dxa"/>
        <w:tblLook w:val="04A0" w:firstRow="1" w:lastRow="0" w:firstColumn="1" w:lastColumn="0" w:noHBand="0" w:noVBand="1"/>
      </w:tblPr>
      <w:tblGrid>
        <w:gridCol w:w="1366"/>
        <w:gridCol w:w="3186"/>
        <w:gridCol w:w="1962"/>
        <w:gridCol w:w="1980"/>
        <w:gridCol w:w="2098"/>
      </w:tblGrid>
      <w:tr w:rsidR="00293FE9" w:rsidRPr="00293FE9" w:rsidTr="002C7BB8">
        <w:trPr>
          <w:trHeight w:val="3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продукции</w:t>
            </w:r>
          </w:p>
        </w:tc>
        <w:tc>
          <w:tcPr>
            <w:tcW w:w="6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Приборы учета электроэнерги</w:t>
            </w:r>
            <w:r w:rsidR="00363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</w:tc>
      </w:tr>
      <w:tr w:rsidR="00293FE9" w:rsidRPr="00293FE9" w:rsidTr="002C7BB8">
        <w:trPr>
          <w:trHeight w:val="202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500" w:firstLine="10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тип приборов учета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 о фазный прибор учета (статический непосредственного включения)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3 - х фазный прибор учета (статический непосредственного включения) до 50 (65) кВт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х фазный прибор учета (статический непрямого включения с использованием измерительных трансформаторов тока)</w:t>
            </w:r>
          </w:p>
        </w:tc>
      </w:tr>
      <w:tr w:rsidR="00293FE9" w:rsidRPr="00293FE9" w:rsidTr="002C7BB8">
        <w:trPr>
          <w:trHeight w:val="51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500" w:firstLine="10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функций приборов учета в соответствии с требованиями ПП РФ от 19.06.2020 № 890</w:t>
            </w:r>
          </w:p>
        </w:tc>
      </w:tr>
      <w:tr w:rsidR="00293FE9" w:rsidRPr="00293FE9" w:rsidTr="002C7BB8">
        <w:trPr>
          <w:trHeight w:val="855"/>
        </w:trPr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а) измерение активной и реактивной энергии в сетях переменного тока в двух направлениях с классом точности, 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 и выше по активной энергии 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 и выше по активной энергии и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0,5S и выше по активной энергии и 1,0 и выше по реактивной энергии</w:t>
            </w:r>
          </w:p>
        </w:tc>
      </w:tr>
      <w:tr w:rsidR="00293FE9" w:rsidRPr="00293FE9" w:rsidTr="002C7BB8">
        <w:trPr>
          <w:trHeight w:val="855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2,0  и выше  по реактивной энергии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2,0 и выше по реактивной энергии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570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а1) интервал между поверками не менее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16 лет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10 лет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10 лет</w:t>
            </w:r>
          </w:p>
        </w:tc>
      </w:tr>
      <w:tr w:rsidR="00293FE9" w:rsidRPr="00293FE9" w:rsidTr="002C7BB8">
        <w:trPr>
          <w:trHeight w:val="1410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б) возможность выполнения измерений с применением коэффициентов трансформации измерительных трансформаторов тока и напряжения (для приборов учета электрической энергии трансформаторного включения);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1620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в) ведение времени независимо от наличия напряжения в питающей сети с абсолютной погрешностью хода внутренних часов не более 5 секунд в сутки, а также с возможностью смены часового пояса;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88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г) возможность синхронизации и коррекции времени с внешним источником сигналов точного времени;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15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д) возможность учета активной и реактивной энергии с фиксацией на конец программируемых расчетных периодов и по не менее чем 4 программируемым тарифным зонам с не менее чем 4 диапазонами суммирования в </w:t>
            </w: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каждом (далее - тарифное расписание);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е) измерение и вычисление: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фазного напряжения в каждой фазе;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линейного напряжения (для трехфазных приборов учета электрической энергии);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фазного тока в каждой фазе;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активной, реактивной и полной мощности в каждой фазе и суммарной мощности;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значения тока в нулевом проводе (для однофазного прибора учета электрической энергии);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небаланса токов в фазном и нулевом проводах (для однофазного прибора учета электрической энергии);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15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частоты электрической сети;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96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6C48E0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lang w:eastAsia="ru-RU"/>
              </w:rPr>
            </w:pPr>
            <w:r w:rsidRPr="006C48E0">
              <w:rPr>
                <w:rFonts w:ascii="Times New Roman" w:eastAsia="Times New Roman" w:hAnsi="Times New Roman" w:cs="Times New Roman"/>
                <w:bCs/>
                <w:lang w:eastAsia="ru-RU"/>
              </w:rPr>
              <w:t>ж) нарушение индивидуальных параметров качества электроснабжения (погрешность измерения параметров должна соответствовать классу S или выше согласно ГОСТ 30804.4.30-2013);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6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з) контроль наличия внешнего переменного и постоянного магнитного поля;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и) отображение на встроенном и (или) выносном цифровом дисплее: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текущих даты и времени;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текущих значений потребленной электрической энергии суммарно и по тарифным зонам;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текущих значений активной и реактивной мощности, напряжения, тока и частоты;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9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значения потребленной электрической энергии на конец последнего программируемого расчетного периода суммарно и по тарифным зонам;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индикатора режима приема и отдачи электрической энергии;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индикатора факта нарушения индивидуальных параметров качества электроснабжения;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9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индикатора вскрытия электронных пломб на корпусе и </w:t>
            </w:r>
            <w:proofErr w:type="spellStart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клеммной</w:t>
            </w:r>
            <w:proofErr w:type="spellEnd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крышке прибора учета электрической энергии;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2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индикатора факта события воздействия магнитных полей со значением модуля вектора магнитной индукции свыше 150 </w:t>
            </w:r>
            <w:proofErr w:type="spellStart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мТл</w:t>
            </w:r>
            <w:proofErr w:type="spellEnd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(пиковое значение) на элементы прибора учета электрической энергии;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915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индикатора неработоспособности прибора учета электрической энергии вследствие аппаратного или программного сбоя;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27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31176F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lang w:eastAsia="ru-RU"/>
              </w:rPr>
            </w:pPr>
            <w:r w:rsidRPr="003117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к) отображение информации в единицах величин, допущенных к применению в Российской Федерации Положением о единицах величин, допускаемых к применению в Российской Федерации, утвержденным постановлением Правительства Российской Федерации от 31 октября 2009 г. № 879 "Об утверждении Положения о единицах величин, допускаемых к применению в Российской Федерации" (обозначение активной электрической энергии - в </w:t>
            </w:r>
            <w:proofErr w:type="spellStart"/>
            <w:r w:rsidRPr="0031176F">
              <w:rPr>
                <w:rFonts w:ascii="Times New Roman" w:eastAsia="Times New Roman" w:hAnsi="Times New Roman" w:cs="Times New Roman"/>
                <w:bCs/>
                <w:lang w:eastAsia="ru-RU"/>
              </w:rPr>
              <w:t>кВт·ч</w:t>
            </w:r>
            <w:proofErr w:type="spellEnd"/>
            <w:r w:rsidRPr="003117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реактивной - в </w:t>
            </w:r>
            <w:proofErr w:type="spellStart"/>
            <w:r w:rsidRPr="0031176F">
              <w:rPr>
                <w:rFonts w:ascii="Times New Roman" w:eastAsia="Times New Roman" w:hAnsi="Times New Roman" w:cs="Times New Roman"/>
                <w:bCs/>
                <w:lang w:eastAsia="ru-RU"/>
              </w:rPr>
              <w:t>кВАр·ч</w:t>
            </w:r>
            <w:proofErr w:type="spellEnd"/>
            <w:r w:rsidRPr="0031176F">
              <w:rPr>
                <w:rFonts w:ascii="Times New Roman" w:eastAsia="Times New Roman" w:hAnsi="Times New Roman" w:cs="Times New Roman"/>
                <w:bCs/>
                <w:lang w:eastAsia="ru-RU"/>
              </w:rPr>
              <w:t>);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915"/>
        </w:trPr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л) индикацию функционирования (работоспособного состояния) на корпусе и выносном дисплее (при наличии выносного дисплея);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45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815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м) наличие 2 интерфейсов связи для организации канала связи (оптического и иного другого), а в отношении приборов учета электрической энергии трансформаторного включения также по цифровому электрическому интерфейсу связи RS-485 или цифровому электрическому интерфейсу связи </w:t>
            </w:r>
            <w:proofErr w:type="spellStart"/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Ethernet</w:t>
            </w:r>
            <w:proofErr w:type="spellEnd"/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900"/>
        </w:trPr>
        <w:tc>
          <w:tcPr>
            <w:tcW w:w="13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2.14.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н) защиту прибора учета электрической энергии от несанкционированного доступа с помощью реализации в приборе учета: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идентификации и аутентификации;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контроля доступа;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контроля целостности;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bCs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регистрации событий безопасности в журнале событий;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15"/>
        </w:trPr>
        <w:tc>
          <w:tcPr>
            <w:tcW w:w="1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5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о) фиксирование несанкционированного доступа к прибору учета посредством энергонезависимой электронной пломбы, фиксирующей вскрытие </w:t>
            </w:r>
            <w:proofErr w:type="spellStart"/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клеммной</w:t>
            </w:r>
            <w:proofErr w:type="spellEnd"/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крышки и вскрытие корпуса (для разборных корпусов);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12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п) фиксацию воздействия постоянного или переменного магнитного поля с указанием даты и времени воздействия со значением модуля вектора магнитной индукции свыше 150 </w:t>
            </w:r>
            <w:proofErr w:type="spellStart"/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мТл</w:t>
            </w:r>
            <w:proofErr w:type="spellEnd"/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(пиковое значение);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2715"/>
        </w:trPr>
        <w:tc>
          <w:tcPr>
            <w:tcW w:w="1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 запись событий в отдельные выделенные сегменты энергонезависимой памяти прибора учета электрической энергии (с указанием даты и времени), результатов нарушения индивидуальных параметров качества электроснабжения - в отдельные выделенные сегменты энергонезависимой памяти прибора учета электрической энергии (далее соответственно - журнал событий, ведение журнала событий) в объеме не менее чем на 500 записей;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2.18.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с) ведение журнала событий, в котором должно фиксироваться следующее: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дата и время вскрытия </w:t>
            </w:r>
            <w:proofErr w:type="spellStart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клеммной</w:t>
            </w:r>
            <w:proofErr w:type="spellEnd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крышки;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дата и время вскрытия корпуса прибора учета электрической энергии (для разборных корпусов);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дата, время и причина включения и отключения встроенного коммутационного аппарата;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дата и время последнего перепрограммирования;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дата, время, тип и параметры выполненной команды;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попытка доступа с неуспешной идентификацией и (или) аутентификацией;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попытка доступа с нарушением правил управления доступом;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9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попытка несанкционированного нарушения целостности программного обеспечения и параметров;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9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изменение направления </w:t>
            </w:r>
            <w:proofErr w:type="spellStart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перетока</w:t>
            </w:r>
            <w:proofErr w:type="spellEnd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мощности (для однофазных и трехфазных приборов учета электрической энергии);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2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дата и время воздействия постоянного или переменного магнитного поля со значением модуля вектора магнитной индукции свыше 150 </w:t>
            </w:r>
            <w:proofErr w:type="spellStart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мТл</w:t>
            </w:r>
            <w:proofErr w:type="spellEnd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(пиковое значение) с визуализацией индикации;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8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факт связи с прибором учета электрической энергии, приведшей к изменению параметров конфигурации, режимов функционирования (в том числе введение полного и (или) частичного ограничения (возобновления) режима потребления электрической энергии (управление нагрузкой);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дата и время отклонения напряжения в измерительных цепях от заданных пределов;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2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отсутствие или низкое напряжение при наличии тока в измерительных цепях с конфигурируемыми порогами (кроме однофазных и трехфазных приборов учета электрической энергии прямого включения);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2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отсутствие напряжения либо значение напряжения ниже запрограммированного порога по каждой фазе с фиксацией времени пропадания и восстановления напряжения;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инверсия фазы или нарушение чередования фаз (для трехфазных приборов учета электрической энергии);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превышение соотношения величин потребления активной и реактивной мощности;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небаланс тока в нулевом и фазном проводе (для однофазных приборов учета электрической энергии);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15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превышение заданного предела мощности;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9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 формирование по результатам автоматической самодиагностики обобщенного события или каждого факта события;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15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у) изменение текущих значений времени и даты при синхронизации времени с фиксацией в журнале событий времени до и после коррекции или величины коррекции времени, на которую было скорректировано значение;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3000"/>
        </w:trPr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2.21.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ф) возможность полного и (или) частичного ограничения (возобновления) режима потребления электрической энергии, приостановление или ограничение предоставления коммунальной услуги (управление нагрузкой) с использованием встроенного коммутационного аппарата, в том числе путем его фиксации в положении "отключено" непосредственно на приборе учета электрической энергии (кроме приборов учета электрической энергии трансформаторного включения), в следующих случаях: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запрос интеллектуальной системы учета;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9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превышение заданных в приборе учета электрической энергии пределов параметров электрической сети;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9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превышение заданного в приборе учета электрической энергии предела электрической энергии (мощности);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515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несанкционированный доступ к прибору учета электрической энергии (вскрытие </w:t>
            </w:r>
            <w:proofErr w:type="spellStart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клеммной</w:t>
            </w:r>
            <w:proofErr w:type="spellEnd"/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крышки, вскрытие корпуса (для разборных корпусов) и воздействие постоянным и переменным магнитным полем);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5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2.22.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х) возобновление подачи электрической энергии по запросу интеллектуальной системы учета, в том числе путем фиксации встроенного коммутационного аппарата в положении "включено" непосредственно на приборе учета электрической энергии;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93FE9" w:rsidRPr="00293FE9" w:rsidTr="002C7BB8">
        <w:trPr>
          <w:trHeight w:val="15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2.23.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ц) хранение профиля принятой и отданной активной и реактивной энергии (мощности) с программируемым интервалом времени интегрирования от 1 минуты до 60 минут и периодом хранения не менее 90 суток (при времени интегрирования 30 минут);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18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2.24.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ч) хранение в энергонезависимом запоминающем устройстве прибора учета электрической энергии данных по принятой и отданной активной и реактивной энергии с нарастающим итогом на начало текущего расчетного периода и не менее 36 предыдущих программируемых расчетных периодов;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1815"/>
        </w:trPr>
        <w:tc>
          <w:tcPr>
            <w:tcW w:w="1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2.25.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ш) обеспечение энергонезависимого хранения журнала событий, выявление фактов изменения (искажения) информации, влияющих на информацию о количестве и иных параметрах электрической энергии, а также фактов изменения (искажения)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программного обеспечения прибора учета электрической энергии;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4200"/>
        </w:trPr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2.26.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щ) возможность организации с использованием защищенных протоколов передачи данных из состава протоколов, утвержденных Министерством цифрового развития, связи и массовых коммуникаций Российской Федерации по согласованию с Министерством энергетики Российской Федерации, информационного обмена с интеллектуальной системой учета, в том числе передачи показаний, предоставления информации о результатах измерения количества и иных параметров электрической энергии, передачи журналов событий и данных о параметрах настройки, а также удаленного управления прибором учета электрической энергии, не влияющих на результаты выполняемых приборами учета электрической энергии измерений, включая:</w:t>
            </w:r>
          </w:p>
          <w:p w:rsidR="00E471FC" w:rsidRPr="007264E7" w:rsidRDefault="00E471FC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корректировку текущей даты и (или) времени, часового пояса;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изменение тарифного расписания;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9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программирование состава и последовательности вывода сообщений и измеряемых параметров на дисплей;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9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программирование параметров фиксации индивидуальных параметров качества электроснабжения;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программирование даты начала расчетного периода;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программирование параметров срабатывания встроенных коммутационных аппаратов;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изменение паролей доступа к параметрам;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изменение ключей шифрования;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215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-</w:t>
            </w:r>
            <w:r w:rsidRPr="007264E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264E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управление встроенным коммутационным аппаратом путем его фиксации в положении "отключено" (кроме приборов учета электрической энергии трансформаторного включения);</w:t>
            </w:r>
          </w:p>
        </w:tc>
        <w:tc>
          <w:tcPr>
            <w:tcW w:w="1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3FE9" w:rsidRPr="00293FE9" w:rsidTr="002C7BB8">
        <w:trPr>
          <w:trHeight w:val="12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2.27.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э) возможность передачи зарегистрированных событий в интеллектуальную систему учета по инициативе прибора учета электрической энергии в момент их возникновения и выбор их состава.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27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2.28.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Для приборов учета электрической энергии непосредственного включения необходимо наличие возможности физической (аппаратной) блокировки срабатывания встроенного коммутационного аппарата, используемого для полного и (или) частичного ограничения (возобновления) режима потребления электрической энергии, приостановление или ограничения предоставления коммунальной услуги (управление нагрузкой).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93FE9" w:rsidRPr="00293FE9" w:rsidTr="002C7BB8">
        <w:trPr>
          <w:trHeight w:val="103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ind w:firstLineChars="500" w:firstLine="10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2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FE9" w:rsidRPr="007264E7" w:rsidRDefault="00293FE9" w:rsidP="0062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описанию прибор</w:t>
            </w:r>
            <w:r w:rsidR="00620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учета, его функциональны</w:t>
            </w:r>
            <w:r w:rsidR="00620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характеристик</w:t>
            </w:r>
            <w:r w:rsidR="00620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</w:t>
            </w: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(потребительски</w:t>
            </w:r>
            <w:r w:rsidR="00620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свойств</w:t>
            </w:r>
            <w:r w:rsidR="00620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</w:t>
            </w: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 w:rsidR="00620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его количественны</w:t>
            </w:r>
            <w:r w:rsidR="00620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качественны</w:t>
            </w:r>
            <w:r w:rsidR="00620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72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характеристик</w:t>
            </w:r>
            <w:r w:rsidR="00620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</w:t>
            </w:r>
          </w:p>
        </w:tc>
      </w:tr>
      <w:tr w:rsidR="00293FE9" w:rsidRPr="00293FE9" w:rsidTr="002C7BB8">
        <w:trPr>
          <w:trHeight w:val="1215"/>
        </w:trPr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Тип включения цепей: напряжения/тока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Непосредственное / непосредственное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Непосредственное / непосредственное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Непосредственное / Трансформаторное</w:t>
            </w:r>
          </w:p>
        </w:tc>
      </w:tr>
      <w:tr w:rsidR="00293FE9" w:rsidRPr="00293FE9" w:rsidTr="002C7BB8">
        <w:trPr>
          <w:trHeight w:val="3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Номинальное напряжение </w:t>
            </w:r>
            <w:proofErr w:type="spellStart"/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Uном</w:t>
            </w:r>
            <w:proofErr w:type="spellEnd"/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В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1×230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3×230/400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3х230/400</w:t>
            </w:r>
          </w:p>
        </w:tc>
      </w:tr>
      <w:tr w:rsidR="00293FE9" w:rsidRPr="00293FE9" w:rsidTr="002C7BB8">
        <w:trPr>
          <w:trHeight w:val="6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Предельный рабочий диапазон напряжений, В 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 0,75·Uном до 1,2·Uном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 0,75·Uном до 1,2·Uном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 0,75·Uном до 1,2·Uном</w:t>
            </w:r>
          </w:p>
        </w:tc>
      </w:tr>
      <w:tr w:rsidR="00293FE9" w:rsidRPr="00293FE9" w:rsidTr="002C7BB8">
        <w:trPr>
          <w:trHeight w:val="3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Базовый ток </w:t>
            </w:r>
            <w:proofErr w:type="spellStart"/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Iб</w:t>
            </w:r>
            <w:proofErr w:type="spellEnd"/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93FE9" w:rsidRPr="00293FE9" w:rsidTr="002C7BB8">
        <w:trPr>
          <w:trHeight w:val="3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Максимальный ток </w:t>
            </w:r>
            <w:proofErr w:type="spellStart"/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Iмакс</w:t>
            </w:r>
            <w:proofErr w:type="spellEnd"/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А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93FE9" w:rsidRPr="00293FE9" w:rsidTr="002C7BB8">
        <w:trPr>
          <w:trHeight w:val="3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Номинальное значение частоты сети, Гц -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50±0,5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50±0,5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50±0,5</w:t>
            </w:r>
          </w:p>
        </w:tc>
      </w:tr>
      <w:tr w:rsidR="00293FE9" w:rsidRPr="00293FE9" w:rsidTr="002C7BB8">
        <w:trPr>
          <w:trHeight w:val="6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72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Диапазон измерения фазного / линейного напряжения переменного тока, 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 0,75·Uном до 1,2·Uном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 0,75·Uном до 1,2·Uном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 0,75·Uном до 1,2·Uном</w:t>
            </w:r>
          </w:p>
        </w:tc>
      </w:tr>
      <w:tr w:rsidR="00293FE9" w:rsidRPr="00293FE9" w:rsidTr="002C7BB8">
        <w:trPr>
          <w:trHeight w:val="9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3.8.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Пределы допускаемой  основной  относительной погрешности измерения фазного / линейного напряжения переменного тока, % 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±1,0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±1,0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±0,5</w:t>
            </w:r>
          </w:p>
        </w:tc>
      </w:tr>
      <w:tr w:rsidR="00293FE9" w:rsidRPr="00293FE9" w:rsidTr="002C7BB8">
        <w:trPr>
          <w:trHeight w:val="6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Пределы допускаемой основной относительной погрешности измерения силы переменного тока, %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±1,0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±1,0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±1,0</w:t>
            </w:r>
          </w:p>
        </w:tc>
      </w:tr>
      <w:tr w:rsidR="00293FE9" w:rsidRPr="00293FE9" w:rsidTr="002C7BB8">
        <w:trPr>
          <w:trHeight w:val="3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тарифов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93FE9" w:rsidRPr="00293FE9" w:rsidTr="002C7BB8">
        <w:trPr>
          <w:trHeight w:val="6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Расстояние связи между выносным дисплеем и ПУ, не менее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93FE9" w:rsidRPr="00293FE9" w:rsidTr="002C7BB8">
        <w:trPr>
          <w:trHeight w:val="6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Степень защиты по ГОСТ 14254-96, для счетчиков модификаций: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менее IP51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менее IP51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менее IP51</w:t>
            </w:r>
          </w:p>
        </w:tc>
      </w:tr>
      <w:tr w:rsidR="00293FE9" w:rsidRPr="00293FE9" w:rsidTr="002C7BB8">
        <w:trPr>
          <w:trHeight w:val="6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3.13.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Средняя наработка счетчика на отказ, ч,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менее  -  220 000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менее  -  220 000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менее  -  220 000</w:t>
            </w:r>
          </w:p>
        </w:tc>
      </w:tr>
      <w:tr w:rsidR="00293FE9" w:rsidRPr="00293FE9" w:rsidTr="002C7BB8">
        <w:trPr>
          <w:trHeight w:val="3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3.14.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Средний срок службы, лет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менее - 30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менее - 30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менее - 30</w:t>
            </w:r>
          </w:p>
        </w:tc>
      </w:tr>
      <w:tr w:rsidR="00293FE9" w:rsidRPr="00293FE9" w:rsidTr="002C7BB8">
        <w:trPr>
          <w:trHeight w:val="300"/>
        </w:trPr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3.15.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Рабочие условия: 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93FE9" w:rsidRPr="00293FE9" w:rsidTr="002C7BB8">
        <w:trPr>
          <w:trHeight w:val="600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температура окружающего воздуха, °С  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 минус 40 до плюс 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 минус 40 до плюс 60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 минус 40 до плюс 60</w:t>
            </w:r>
          </w:p>
        </w:tc>
      </w:tr>
      <w:tr w:rsidR="00293FE9" w:rsidRPr="00293FE9" w:rsidTr="002C7BB8">
        <w:trPr>
          <w:trHeight w:val="615"/>
        </w:trPr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относительная влажность воздуха при температуре окружающего воздуха 25 °С, %,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более 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более 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более 98</w:t>
            </w:r>
          </w:p>
        </w:tc>
      </w:tr>
      <w:tr w:rsidR="00293FE9" w:rsidRPr="00293FE9" w:rsidTr="002C7BB8">
        <w:trPr>
          <w:trHeight w:val="6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3.16.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Дистанционное управление нагрузкой с помощью встроенного реле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93FE9" w:rsidRPr="00293FE9" w:rsidTr="002C7BB8">
        <w:trPr>
          <w:trHeight w:val="6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нормируемого измерения показателей качества (контроль отклонения напряжения и частоты)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93FE9" w:rsidRPr="00293FE9" w:rsidTr="002C7BB8">
        <w:trPr>
          <w:trHeight w:val="3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3.18.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контроля тока в нейтральном проводе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93FE9" w:rsidRPr="00293FE9" w:rsidTr="002C7BB8">
        <w:trPr>
          <w:trHeight w:val="1215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3.19.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726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Интерфейсы для передачи данных во внешние измерительные системы:</w:t>
            </w:r>
            <w:r w:rsidR="009D1121" w:rsidRPr="009D11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Оптопорт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передачи данных не менее 9600 бит/с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передачи данных не менее 9600 бит/с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E9" w:rsidRPr="007264E7" w:rsidRDefault="00293FE9" w:rsidP="0029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передачи данных не менее 9600 бит/с</w:t>
            </w:r>
          </w:p>
        </w:tc>
      </w:tr>
    </w:tbl>
    <w:p w:rsidR="00293FE9" w:rsidRDefault="00293FE9" w:rsidP="001E6E49">
      <w:pPr>
        <w:shd w:val="clear" w:color="auto" w:fill="FFFFFF"/>
        <w:spacing w:before="100" w:beforeAutospacing="1" w:after="150" w:line="270" w:lineRule="atLeast"/>
        <w:ind w:left="-993"/>
        <w:jc w:val="both"/>
        <w:rPr>
          <w:rFonts w:ascii="Times New Roman" w:eastAsia="Times New Roman" w:hAnsi="Times New Roman" w:cs="Times New Roman"/>
          <w:color w:val="393A3A"/>
          <w:sz w:val="24"/>
          <w:szCs w:val="24"/>
          <w:lang w:eastAsia="ru-RU"/>
        </w:rPr>
      </w:pPr>
    </w:p>
    <w:sectPr w:rsidR="00293FE9" w:rsidSect="00D4132F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2DC"/>
    <w:multiLevelType w:val="multilevel"/>
    <w:tmpl w:val="66D8D71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A8679E8"/>
    <w:multiLevelType w:val="multilevel"/>
    <w:tmpl w:val="0518D35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abstractNum w:abstractNumId="2" w15:restartNumberingAfterBreak="0">
    <w:nsid w:val="18E83550"/>
    <w:multiLevelType w:val="multilevel"/>
    <w:tmpl w:val="E1D8D9EE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2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74" w:hanging="105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686" w:hanging="1050"/>
      </w:pPr>
      <w:rPr>
        <w:rFonts w:hint="default"/>
      </w:rPr>
    </w:lvl>
    <w:lvl w:ilvl="4">
      <w:start w:val="10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1D9167D6"/>
    <w:multiLevelType w:val="multilevel"/>
    <w:tmpl w:val="758E6D6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1E2F32AF"/>
    <w:multiLevelType w:val="multilevel"/>
    <w:tmpl w:val="3F9E0F0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27620918"/>
    <w:multiLevelType w:val="multilevel"/>
    <w:tmpl w:val="3986403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6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7E94F9D"/>
    <w:multiLevelType w:val="multilevel"/>
    <w:tmpl w:val="0EC61C3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2F6F61A7"/>
    <w:multiLevelType w:val="multilevel"/>
    <w:tmpl w:val="3F9E0F0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41834C5"/>
    <w:multiLevelType w:val="hybridMultilevel"/>
    <w:tmpl w:val="32AE9154"/>
    <w:lvl w:ilvl="0" w:tplc="0D361884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527F96"/>
    <w:multiLevelType w:val="multilevel"/>
    <w:tmpl w:val="B4548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9B47F93"/>
    <w:multiLevelType w:val="multilevel"/>
    <w:tmpl w:val="18A4B480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3448A0"/>
    <w:multiLevelType w:val="multilevel"/>
    <w:tmpl w:val="AABEC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52891DFE"/>
    <w:multiLevelType w:val="multilevel"/>
    <w:tmpl w:val="996E85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7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" w:hanging="75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</w:rPr>
    </w:lvl>
  </w:abstractNum>
  <w:abstractNum w:abstractNumId="13" w15:restartNumberingAfterBreak="0">
    <w:nsid w:val="5C044E82"/>
    <w:multiLevelType w:val="multilevel"/>
    <w:tmpl w:val="1B5E50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EC"/>
    <w:rsid w:val="00092483"/>
    <w:rsid w:val="000C4AC7"/>
    <w:rsid w:val="00113B4D"/>
    <w:rsid w:val="001A7811"/>
    <w:rsid w:val="001E3389"/>
    <w:rsid w:val="001E6E49"/>
    <w:rsid w:val="00274AA0"/>
    <w:rsid w:val="00293FE9"/>
    <w:rsid w:val="002C7BB8"/>
    <w:rsid w:val="002E28C1"/>
    <w:rsid w:val="0031176F"/>
    <w:rsid w:val="00311D46"/>
    <w:rsid w:val="003212EC"/>
    <w:rsid w:val="0032675E"/>
    <w:rsid w:val="003632E1"/>
    <w:rsid w:val="003913D0"/>
    <w:rsid w:val="004B70AC"/>
    <w:rsid w:val="00561AC1"/>
    <w:rsid w:val="005A33D8"/>
    <w:rsid w:val="005A6675"/>
    <w:rsid w:val="006202C0"/>
    <w:rsid w:val="00620E5D"/>
    <w:rsid w:val="0066531F"/>
    <w:rsid w:val="00696144"/>
    <w:rsid w:val="006A6418"/>
    <w:rsid w:val="006C48E0"/>
    <w:rsid w:val="006C77F0"/>
    <w:rsid w:val="00716D7E"/>
    <w:rsid w:val="007264E7"/>
    <w:rsid w:val="0079760B"/>
    <w:rsid w:val="007D1B2C"/>
    <w:rsid w:val="008211F1"/>
    <w:rsid w:val="008727D8"/>
    <w:rsid w:val="008A2E83"/>
    <w:rsid w:val="008B3B53"/>
    <w:rsid w:val="008B5B08"/>
    <w:rsid w:val="008E0C2A"/>
    <w:rsid w:val="008F5698"/>
    <w:rsid w:val="00943E50"/>
    <w:rsid w:val="00975C8E"/>
    <w:rsid w:val="00977DFA"/>
    <w:rsid w:val="009C3ED3"/>
    <w:rsid w:val="009D1121"/>
    <w:rsid w:val="009D1581"/>
    <w:rsid w:val="00A721FE"/>
    <w:rsid w:val="00A776F7"/>
    <w:rsid w:val="00A929BD"/>
    <w:rsid w:val="00AB7A98"/>
    <w:rsid w:val="00AD5BD8"/>
    <w:rsid w:val="00AF1514"/>
    <w:rsid w:val="00B537AA"/>
    <w:rsid w:val="00B5474D"/>
    <w:rsid w:val="00B71E64"/>
    <w:rsid w:val="00CB0434"/>
    <w:rsid w:val="00CF02E0"/>
    <w:rsid w:val="00D0734D"/>
    <w:rsid w:val="00D4132F"/>
    <w:rsid w:val="00DB49A4"/>
    <w:rsid w:val="00DF0A0B"/>
    <w:rsid w:val="00E27711"/>
    <w:rsid w:val="00E27DC6"/>
    <w:rsid w:val="00E471FC"/>
    <w:rsid w:val="00EA52F7"/>
    <w:rsid w:val="00F079A1"/>
    <w:rsid w:val="00F6211E"/>
    <w:rsid w:val="00FA6044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F07E"/>
  <w15:chartTrackingRefBased/>
  <w15:docId w15:val="{7B3AC9B7-533C-4C14-91F9-4FAF30C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007336"/>
      <w:kern w:val="36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E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2EC"/>
    <w:rPr>
      <w:rFonts w:ascii="Times New Roman" w:eastAsia="Times New Roman" w:hAnsi="Times New Roman" w:cs="Times New Roman"/>
      <w:color w:val="007336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12EC"/>
    <w:rPr>
      <w:strike w:val="0"/>
      <w:dstrike w:val="0"/>
      <w:color w:val="007336"/>
      <w:u w:val="none"/>
      <w:effect w:val="none"/>
    </w:rPr>
  </w:style>
  <w:style w:type="character" w:styleId="a4">
    <w:name w:val="Emphasis"/>
    <w:basedOn w:val="a0"/>
    <w:uiPriority w:val="20"/>
    <w:qFormat/>
    <w:rsid w:val="003212EC"/>
    <w:rPr>
      <w:i/>
      <w:iCs/>
    </w:rPr>
  </w:style>
  <w:style w:type="character" w:styleId="a5">
    <w:name w:val="Strong"/>
    <w:basedOn w:val="a0"/>
    <w:uiPriority w:val="22"/>
    <w:qFormat/>
    <w:rsid w:val="003212EC"/>
    <w:rPr>
      <w:b/>
      <w:bCs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3212E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537AA"/>
  </w:style>
  <w:style w:type="character" w:customStyle="1" w:styleId="nobr">
    <w:name w:val="nobr"/>
    <w:basedOn w:val="a0"/>
    <w:rsid w:val="00B537AA"/>
  </w:style>
  <w:style w:type="paragraph" w:styleId="a7">
    <w:name w:val="List Paragraph"/>
    <w:aliases w:val="Table-Normal,RSHB_Table-Normal,Заголовок_3,Подпись рисунка"/>
    <w:basedOn w:val="a"/>
    <w:link w:val="a8"/>
    <w:qFormat/>
    <w:rsid w:val="00113B4D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aliases w:val="Table-Normal Знак,RSHB_Table-Normal Знак,Заголовок_3 Знак,Подпись рисунка Знак"/>
    <w:link w:val="a7"/>
    <w:locked/>
    <w:rsid w:val="00113B4D"/>
  </w:style>
  <w:style w:type="paragraph" w:styleId="11">
    <w:name w:val="toc 1"/>
    <w:basedOn w:val="a"/>
    <w:next w:val="a"/>
    <w:autoRedefine/>
    <w:uiPriority w:val="39"/>
    <w:qFormat/>
    <w:rsid w:val="008B5B08"/>
    <w:pPr>
      <w:keepNext/>
      <w:keepLines/>
      <w:tabs>
        <w:tab w:val="left" w:pos="660"/>
        <w:tab w:val="right" w:leader="dot" w:pos="9355"/>
      </w:tabs>
      <w:spacing w:after="0" w:line="276" w:lineRule="auto"/>
      <w:ind w:left="709" w:hanging="709"/>
    </w:pPr>
    <w:rPr>
      <w:rFonts w:ascii="Times New Roman" w:eastAsia="Times New Roman" w:hAnsi="Times New Roman" w:cs="Times New Roman"/>
      <w:bCs/>
      <w:caps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8B5B08"/>
    <w:pPr>
      <w:tabs>
        <w:tab w:val="left" w:pos="880"/>
        <w:tab w:val="right" w:leader="dot" w:pos="9345"/>
      </w:tabs>
      <w:spacing w:after="100" w:line="276" w:lineRule="auto"/>
      <w:ind w:left="851" w:hanging="631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8B5B08"/>
  </w:style>
  <w:style w:type="character" w:customStyle="1" w:styleId="40">
    <w:name w:val="Заголовок 4 Знак"/>
    <w:basedOn w:val="a0"/>
    <w:link w:val="4"/>
    <w:uiPriority w:val="9"/>
    <w:semiHidden/>
    <w:rsid w:val="00943E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62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02C0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A92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9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4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93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3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0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5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1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25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0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0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4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3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92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6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4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9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2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9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2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7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7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1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8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84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3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1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0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5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8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8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5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1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5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6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7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8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1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62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86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5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4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4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7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37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29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2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6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2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92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2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9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6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67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0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2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82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5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1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6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5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0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0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74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8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4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4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35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69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6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6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3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2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4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5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6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3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7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6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3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33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6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9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87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7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3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5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1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5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44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7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3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7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3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3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8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1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6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9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05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9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4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4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31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8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9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3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1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2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1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1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3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2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2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8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95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4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2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7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4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3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3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0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0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1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2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1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3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7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3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3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7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05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0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8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8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74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1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4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86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0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21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4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29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6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2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5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0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1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0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8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8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5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6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2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9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7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3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6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03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5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0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0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5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4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9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7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1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5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7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9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1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2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1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8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3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1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1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8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9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1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3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6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8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3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5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8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0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4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1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20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1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0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8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0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20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1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6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9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1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6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0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1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5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0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7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9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95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5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4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7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6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74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1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5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6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9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5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7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5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7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85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8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6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25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8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0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2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5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3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95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1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1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0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1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9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9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8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7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7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5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2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3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5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2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0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1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13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16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5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1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0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3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59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58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2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0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6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4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9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72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5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3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4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83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69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2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5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0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63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1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7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5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9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6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23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1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29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0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92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3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6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0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9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3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82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4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9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83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85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5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6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8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99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01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0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5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9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4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9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3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3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0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06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66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7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09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4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8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3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6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9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8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55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7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1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01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5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0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1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2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0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2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89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6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0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4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6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7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2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7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3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7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18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9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4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7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4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8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4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7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1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1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3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4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7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2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4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6398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4994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13290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8036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3120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57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93118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820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93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7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6338">
                              <w:marLeft w:val="33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7C7C7"/>
                                <w:bottom w:val="single" w:sz="6" w:space="15" w:color="A6A6A6"/>
                                <w:right w:val="single" w:sz="6" w:space="15" w:color="C7C7C7"/>
                              </w:divBdr>
                              <w:divsChild>
                                <w:div w:id="18300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7E78-2148-4AD7-9905-20CE29EB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Черненьков Владимир Владимирович</dc:creator>
  <cp:keywords/>
  <dc:description/>
  <cp:lastModifiedBy>Биткин Дмитрий Николаевич</cp:lastModifiedBy>
  <cp:revision>6</cp:revision>
  <dcterms:created xsi:type="dcterms:W3CDTF">2024-05-14T08:54:00Z</dcterms:created>
  <dcterms:modified xsi:type="dcterms:W3CDTF">2024-05-15T01:26:00Z</dcterms:modified>
</cp:coreProperties>
</file>