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f3f6123447a5" /><Relationship Type="http://schemas.openxmlformats.org/package/2006/relationships/metadata/core-properties" Target="/docProps/core.xml" Id="R7e92123bd6104eba" /><Relationship Type="http://schemas.openxmlformats.org/officeDocument/2006/relationships/extended-properties" Target="/docProps/app.xml" Id="R81cfc10d3e3c4c40" /><Relationship Type="http://schemas.openxmlformats.org/officeDocument/2006/relationships/custom-properties" Target="/docProps/custom.xml" Id="R6b7c47de572e4f4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82" w:lineRule="exact" w:line="240"/>
      </w:pPr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719455</wp:posOffset>
                </wp:positionH>
                <wp:positionV relativeFrom="page">
                  <wp:posOffset>719459</wp:posOffset>
                </wp:positionV>
                <wp:extent cx="6120129" cy="20446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0129" cy="204469"/>
                        </a:xfrm>
                        <a:custGeom>
                          <a:avLst/>
                          <a:pathLst>
                            <a:path w="6120129" h="204469">
                              <a:moveTo>
                                <a:pt x="0" y="0"/>
                              </a:moveTo>
                              <a:lnTo>
                                <a:pt x="0" y="204469"/>
                              </a:lnTo>
                              <a:lnTo>
                                <a:pt x="6120129" y="204469"/>
                              </a:lnTo>
                              <a:lnTo>
                                <a:pt x="61201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0" w:left="1537" w:right="17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5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781"/>
          <w:tab w:val="left" w:leader="none" w:pos="8064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" locked="0" simplePos="0" distL="114300" distT="0" distR="114300" distB="0" behindDoc="1">
                <wp:simplePos x="0" y="0"/>
                <wp:positionH relativeFrom="page">
                  <wp:posOffset>719455</wp:posOffset>
                </wp:positionH>
                <wp:positionV relativeFrom="paragraph">
                  <wp:posOffset>203858</wp:posOffset>
                </wp:positionV>
                <wp:extent cx="6120129" cy="2658109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0129" cy="2658109"/>
                          <a:chOff x="0" y="0"/>
                          <a:chExt cx="6120129" cy="265810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0"/>
                            <a:ext cx="6120129" cy="204469"/>
                          </a:xfrm>
                          <a:custGeom>
                            <a:avLst/>
                            <a:pathLst>
                              <a:path w="6120129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204469"/>
                            <a:ext cx="6120129" cy="613409"/>
                          </a:xfrm>
                          <a:custGeom>
                            <a:avLst/>
                            <a:pathLst>
                              <a:path w="6120129" h="613409">
                                <a:moveTo>
                                  <a:pt x="0" y="613409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613409"/>
                                </a:lnTo>
                                <a:lnTo>
                                  <a:pt x="0" y="613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817879"/>
                            <a:ext cx="6120129" cy="204470"/>
                          </a:xfrm>
                          <a:custGeom>
                            <a:avLst/>
                            <a:pathLst>
                              <a:path w="61201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1022350"/>
                            <a:ext cx="6120129" cy="1635759"/>
                          </a:xfrm>
                          <a:custGeom>
                            <a:avLst/>
                            <a:pathLst>
                              <a:path w="6120129" h="1635759">
                                <a:moveTo>
                                  <a:pt x="0" y="0"/>
                                </a:moveTo>
                                <a:lnTo>
                                  <a:pt x="0" y="1635759"/>
                                </a:lnTo>
                                <a:lnTo>
                                  <a:pt x="6120129" y="1635759"/>
                                </a:lnTo>
                                <a:lnTo>
                                  <a:pt x="6120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00.00.2023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7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020"/>
          <w:tab w:val="left" w:leader="none" w:pos="5164"/>
          <w:tab w:val="left" w:leader="none" w:pos="5847"/>
          <w:tab w:val="left" w:leader="none" w:pos="7632"/>
        </w:tabs>
        <w:jc w:val="both"/>
        <w:ind w:firstLine="350" w:left="0" w:right="2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23.06.2016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ганизаци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40" w:left="0" w:right="3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" w:left="0" w:right="198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515"/>
        </w:tabs>
        <w:ind w:firstLine="0" w:left="1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9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135" w:right="850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719455</wp:posOffset>
                </wp:positionH>
                <wp:positionV relativeFrom="paragraph">
                  <wp:posOffset>-1947469</wp:posOffset>
                </wp:positionV>
                <wp:extent cx="6120129" cy="2151379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0129" cy="2151379"/>
                          <a:chOff x="0" y="0"/>
                          <a:chExt cx="6120129" cy="215137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6120129" cy="203834"/>
                          </a:xfrm>
                          <a:custGeom>
                            <a:avLst/>
                            <a:pathLst>
                              <a:path w="6120129" h="203834">
                                <a:moveTo>
                                  <a:pt x="0" y="203834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3834"/>
                                </a:lnTo>
                                <a:lnTo>
                                  <a:pt x="0" y="203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203834"/>
                            <a:ext cx="6120129" cy="728345"/>
                          </a:xfrm>
                          <a:custGeom>
                            <a:avLst/>
                            <a:pathLst>
                              <a:path w="6120129" h="728345">
                                <a:moveTo>
                                  <a:pt x="0" y="728345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728345"/>
                                </a:lnTo>
                                <a:lnTo>
                                  <a:pt x="0" y="728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932179"/>
                            <a:ext cx="6120129" cy="728344"/>
                          </a:xfrm>
                          <a:custGeom>
                            <a:avLst/>
                            <a:pathLst>
                              <a:path w="6120129" h="728344">
                                <a:moveTo>
                                  <a:pt x="0" y="728344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728344"/>
                                </a:lnTo>
                                <a:lnTo>
                                  <a:pt x="0" y="728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660525"/>
                            <a:ext cx="6120129" cy="490855"/>
                          </a:xfrm>
                          <a:custGeom>
                            <a:avLst/>
                            <a:pathLst>
                              <a:path w="6120129" h="490855">
                                <a:moveTo>
                                  <a:pt x="0" y="0"/>
                                </a:moveTo>
                                <a:lnTo>
                                  <a:pt x="0" y="490855"/>
                                </a:lnTo>
                                <a:lnTo>
                                  <a:pt x="6120129" y="490855"/>
                                </a:lnTo>
                                <a:lnTo>
                                  <a:pt x="6120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«___»_2023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40" w:right="-20"/>
        <w:spacing w:before="0" w:after="0" w:lineRule="auto" w:line="240"/>
        <w:widowControl w:val="0"/>
      </w:pPr>
      <w:bookmarkStart w:id="1" w:name="_page_4_0"/>
      <w:r>
        <mc:AlternateContent>
          <mc:Choice Requires="wpg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719455</wp:posOffset>
                </wp:positionH>
                <wp:positionV relativeFrom="paragraph">
                  <wp:posOffset>-630</wp:posOffset>
                </wp:positionV>
                <wp:extent cx="6120129" cy="1402081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0129" cy="1402081"/>
                          <a:chOff x="0" y="0"/>
                          <a:chExt cx="6120129" cy="140208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 rot="0">
                            <a:off x="0" y="0"/>
                            <a:ext cx="6120129" cy="204469"/>
                          </a:xfrm>
                          <a:custGeom>
                            <a:avLst/>
                            <a:pathLst>
                              <a:path w="6120129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04469"/>
                            <a:ext cx="6120129" cy="175261"/>
                          </a:xfrm>
                          <a:custGeom>
                            <a:avLst/>
                            <a:pathLst>
                              <a:path w="612012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79731"/>
                            <a:ext cx="6120129" cy="204468"/>
                          </a:xfrm>
                          <a:custGeom>
                            <a:avLst/>
                            <a:pathLst>
                              <a:path w="6120129" h="204468">
                                <a:moveTo>
                                  <a:pt x="0" y="204468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68"/>
                                </a:lnTo>
                                <a:lnTo>
                                  <a:pt x="0" y="20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584200"/>
                            <a:ext cx="6120129" cy="204469"/>
                          </a:xfrm>
                          <a:custGeom>
                            <a:avLst/>
                            <a:pathLst>
                              <a:path w="6120129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788669"/>
                            <a:ext cx="6120129" cy="204470"/>
                          </a:xfrm>
                          <a:custGeom>
                            <a:avLst/>
                            <a:pathLst>
                              <a:path w="61201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993140"/>
                            <a:ext cx="6120129" cy="408940"/>
                          </a:xfrm>
                          <a:custGeom>
                            <a:avLst/>
                            <a:pathLst>
                              <a:path w="6120129" h="408940">
                                <a:moveTo>
                                  <a:pt x="0" y="0"/>
                                </a:moveTo>
                                <a:lnTo>
                                  <a:pt x="0" y="408940"/>
                                </a:lnTo>
                                <a:lnTo>
                                  <a:pt x="6120129" y="408940"/>
                                </a:lnTo>
                                <a:lnTo>
                                  <a:pt x="6120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3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1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31"/>
        <w:spacing w:before="0" w:after="28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135" w:right="645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29" w:right="2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19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325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255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57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135" w:right="645" w:top="1134"/>
          <w:pgNumType w:fmt="decimal"/>
          <w:cols w:equalWidth="0" w:num="2" w:space="708" w:sep="0">
            <w:col w:w="2039" w:space="555"/>
            <w:col w:w="752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bookmarkEnd w:id="1"/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28"/>
      </w:pPr>
      <w:bookmarkStart w:id="2" w:name="_page_7_0"/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719455</wp:posOffset>
                </wp:positionH>
                <wp:positionV relativeFrom="page">
                  <wp:posOffset>7200269</wp:posOffset>
                </wp:positionV>
                <wp:extent cx="6120129" cy="40894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0129" cy="408940"/>
                          <a:chOff x="0" y="0"/>
                          <a:chExt cx="6120129" cy="408940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 rot="0">
                            <a:off x="0" y="0"/>
                            <a:ext cx="6120129" cy="204470"/>
                          </a:xfrm>
                          <a:custGeom>
                            <a:avLst/>
                            <a:pathLst>
                              <a:path w="61201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120129" y="0"/>
                                </a:lnTo>
                                <a:lnTo>
                                  <a:pt x="61201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204470"/>
                            <a:ext cx="6120129" cy="204470"/>
                          </a:xfrm>
                          <a:custGeom>
                            <a:avLst/>
                            <a:pathLst>
                              <a:path w="6120129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6120129" y="204470"/>
                                </a:lnTo>
                                <a:lnTo>
                                  <a:pt x="6120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135" w:right="606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2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9" w:right="1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9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деяний;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13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135" w:right="606" w:top="1134"/>
          <w:pgNumType w:fmt="decimal"/>
          <w:cols w:equalWidth="0" w:num="2" w:space="708" w:sep="0">
            <w:col w:w="1774" w:space="820"/>
            <w:col w:w="756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90" w:left="0" w:right="177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10" w:left="0" w:right="622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135" w:right="60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ей-си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40" w:right="-20"/>
        <w:spacing w:before="0" w:after="0" w:lineRule="auto" w:line="240"/>
        <w:widowControl w:val="0"/>
      </w:pPr>
      <w:bookmarkStart w:id="3" w:name="_page_1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80" w:left="940" w:right="160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80" w:left="940" w:right="118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10" w:left="1010" w:right="199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14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40" w:left="940" w:right="18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" w:left="940" w:right="17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26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8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40" w:right="-20"/>
        <w:spacing w:before="0" w:after="28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hyperlink r:id="Refc093bf903340af"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п</w:t>
        </w:r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рограммных</w:t>
        </w:r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мероприя</w:t>
        </w:r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т</w:t>
        </w:r>
        <w:r>
          <w:rPr>
            <w:b w:val="1"/>
            <w:bCs w:val="1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ий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96" w:right="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71"/>
        </w:tabs>
        <w:jc w:val="left"/>
        <w:ind w:firstLine="1571" w:left="0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680" w:right="3355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8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80"/>
        </w:tabs>
        <w:jc w:val="left"/>
        <w:ind w:firstLine="0" w:left="0" w:right="-7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680" w:left="1680" w:right="32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0" w:top="1134"/>
          <w:pgNumType w:fmt="decimal"/>
          <w:cols w:equalWidth="0" w:num="3" w:space="708" w:sep="0">
            <w:col w:w="3258" w:space="1015"/>
            <w:col w:w="1484" w:space="239"/>
            <w:col w:w="5710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71"/>
        </w:tabs>
        <w:jc w:val="left"/>
        <w:ind w:firstLine="0" w:left="0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66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83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0" w:top="1134"/>
          <w:pgNumType w:fmt="decimal"/>
          <w:cols w:equalWidth="0" w:num="2" w:space="708" w:sep="0">
            <w:col w:w="3028" w:space="1245"/>
            <w:col w:w="743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313"/>
        <w:spacing w:before="28" w:after="56" w:lineRule="auto" w:line="240"/>
        <w:widowControl w:val="0"/>
      </w:pPr>
      <w:bookmarkStart w:id="4" w:name="_page_1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6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6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3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6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9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0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0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4" w:space="708" w:sep="0">
            <w:col w:w="210" w:space="1361"/>
            <w:col w:w="2633" w:space="1792"/>
            <w:col w:w="1294" w:space="385"/>
            <w:col w:w="318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bookmarkEnd w:id="4"/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28"/>
      </w:pPr>
      <w:bookmarkStart w:id="5" w:name="_page_16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6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67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4" w:space="708" w:sep="0">
            <w:col w:w="210" w:space="1361"/>
            <w:col w:w="2633" w:space="1792"/>
            <w:col w:w="1239" w:space="440"/>
            <w:col w:w="318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299"/>
        <w:spacing w:before="56" w:after="56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.3.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hyperlink r:id="R39a88aa393d24ff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за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она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1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3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67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4" w:space="708" w:sep="0">
            <w:col w:w="420" w:space="1151"/>
            <w:col w:w="2585" w:space="1840"/>
            <w:col w:w="1239" w:space="440"/>
            <w:col w:w="318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bookmarkEnd w:id="5"/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28"/>
      </w:pPr>
      <w:bookmarkStart w:id="6" w:name="_page_19_0"/>
      <w:r>
        <mc:AlternateContent>
          <mc:Choice Requires="wps">
            <w:drawing>
              <wp:anchor allowOverlap="1" layoutInCell="0" relativeHeight="403" locked="0" simplePos="0" distL="114300" distT="0" distR="114300" distB="0" behindDoc="1">
                <wp:simplePos x="0" y="0"/>
                <wp:positionH relativeFrom="page">
                  <wp:posOffset>1845310</wp:posOffset>
                </wp:positionH>
                <wp:positionV relativeFrom="page">
                  <wp:posOffset>8013704</wp:posOffset>
                </wp:positionV>
                <wp:extent cx="674369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74369" cy="0"/>
                        </a:xfrm>
                        <a:custGeom>
                          <a:avLst/>
                          <a:pathLst>
                            <a:path w="674369" h="0">
                              <a:moveTo>
                                <a:pt x="0" y="0"/>
                              </a:moveTo>
                              <a:lnTo>
                                <a:pt x="674369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2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4" w:space="708" w:sep="0">
            <w:col w:w="350" w:space="1221"/>
            <w:col w:w="2611" w:space="1814"/>
            <w:col w:w="1294" w:space="385"/>
            <w:col w:w="3180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177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hyperlink r:id="R06cfc21fdb29460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денежных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hyperlink r:id="R017e6a3d151c4283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ср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тв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3" w:space="708" w:sep="0">
            <w:col w:w="350" w:space="1221"/>
            <w:col w:w="1632" w:space="2793"/>
            <w:col w:w="486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9293"/>
        <w:spacing w:before="56" w:after="56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hyperlink r:id="R571c8b1a1c6d46b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(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кле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в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17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3" w:space="708" w:sep="0">
            <w:col w:w="350" w:space="1221"/>
            <w:col w:w="2577" w:space="1848"/>
            <w:col w:w="4860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71" w:left="1571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80"/>
          <w:tab w:val="left" w:leader="none" w:pos="2490"/>
        </w:tabs>
        <w:jc w:val="left"/>
        <w:ind w:firstLine="0" w:left="0" w:right="2207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2" w:space="708" w:sep="0">
            <w:col w:w="3740" w:space="2257"/>
            <w:col w:w="486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bookmarkEnd w:id="6"/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28"/>
      </w:pPr>
      <w:bookmarkStart w:id="7" w:name="_page_22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4"/>
          <w:pgMar w:bottom="0" w:footer="0" w:gutter="0" w:header="0" w:left="19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08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8"/>
        <w:spacing w:before="5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7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4"/>
          <w:pgMar w:bottom="0" w:footer="0" w:gutter="0" w:header="0" w:left="196" w:right="850" w:top="1134"/>
          <w:pgNumType w:fmt="decimal"/>
          <w:cols w:equalWidth="0" w:num="4" w:space="708" w:sep="0">
            <w:col w:w="350" w:space="1221"/>
            <w:col w:w="2611" w:space="1814"/>
            <w:col w:w="1294" w:space="385"/>
            <w:col w:w="318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2169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40" w:right="220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4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69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4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изненн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940" w:right="5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ний.</w:t>
      </w:r>
      <w:bookmarkEnd w:id="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4"/>
      <w:pgMar w:bottom="0" w:footer="0" w:gutter="0" w:header="0" w:left="196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ndia.ru/text/category/programmi_meropriyatij/" TargetMode="External" Id="Refc093bf903340af" /><Relationship Type="http://schemas.openxmlformats.org/officeDocument/2006/relationships/hyperlink" Target="https://pandia.ru/text/category/zakoni__irkutskaya_obl_/" TargetMode="External" Id="R39a88aa393d24ff7" /><Relationship Type="http://schemas.openxmlformats.org/officeDocument/2006/relationships/hyperlink" Target="https://pandia.ru/text/category/denezhnie_sredstva/" TargetMode="External" Id="R06cfc21fdb29460e" /><Relationship Type="http://schemas.openxmlformats.org/officeDocument/2006/relationships/hyperlink" Target="https://pandia.ru/text/category/denezhnie_sredstva/" TargetMode="External" Id="R017e6a3d151c4283" /><Relationship Type="http://schemas.openxmlformats.org/officeDocument/2006/relationships/hyperlink" Target="https://pandia.ru/text/category/buklet/" TargetMode="External" Id="R571c8b1a1c6d46b2" /><Relationship Type="http://schemas.openxmlformats.org/officeDocument/2006/relationships/styles" Target="styles.xml" Id="Rc86cf9c219154218" /><Relationship Type="http://schemas.openxmlformats.org/officeDocument/2006/relationships/fontTable" Target="fontTable.xml" Id="R66eb4c8deb4b4fd8" /><Relationship Type="http://schemas.openxmlformats.org/officeDocument/2006/relationships/settings" Target="settings.xml" Id="R2dbc45aef0f841b9" /><Relationship Type="http://schemas.openxmlformats.org/officeDocument/2006/relationships/webSettings" Target="webSettings.xml" Id="R7c0b33dc63784d0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8</Pages>
  <Words>1122</Words>
  <Characters>8854</Characters>
  <CharactersWithSpaces>9859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